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C8943A"/>
          <w:spacing w:val="40"/>
          <w:sz w:val="15"/>
          <w:szCs w:val="15"/>
        </w:rPr>
        <w:t xml:space="preserve">BOARD GOVERNANCE WORKSHEET</w:t>
      </w:r>
    </w:p>
    <w:p>
      <w:pPr>
        <w:spacing w:after="80"/>
        <w:jc w:val="center"/>
      </w:pPr>
      <w:r>
        <w:rPr>
          <w:rFonts w:ascii="Calibri Light" w:cs="Calibri Light" w:eastAsia="Calibri Light" w:hAnsi="Calibri Light"/>
          <w:color w:val="1F1E2C"/>
          <w:sz w:val="52"/>
          <w:szCs w:val="52"/>
        </w:rPr>
        <w:t xml:space="preserve">Board Recruitment Matrix</w:t>
      </w:r>
    </w:p>
    <w:p>
      <w:pPr>
        <w:spacing w:after="260"/>
        <w:jc w:val="center"/>
      </w:pPr>
      <w:r>
        <w:rPr>
          <w:rFonts w:ascii="Calibri" w:cs="Calibri" w:eastAsia="Calibri" w:hAnsi="Calibri"/>
          <w:i/>
          <w:iCs/>
          <w:color w:val="4A4956"/>
          <w:sz w:val="21"/>
          <w:szCs w:val="21"/>
        </w:rPr>
        <w:t xml:space="preserve">[Organization Name] · [Date]</w:t>
      </w:r>
    </w:p>
    <w:p>
      <w:pPr>
        <w:spacing w:after="160" w:line="264"/>
        <w:jc w:val="left"/>
      </w:pPr>
      <w:r>
        <w:rPr>
          <w:rFonts w:ascii="Calibri" w:cs="Calibri" w:eastAsia="Calibri" w:hAnsi="Calibri"/>
          <w:b/>
          <w:bCs/>
          <w:color w:val="33323F"/>
          <w:sz w:val="21"/>
          <w:szCs w:val="21"/>
        </w:rPr>
        <w:t xml:space="preserve">How to fill it in: </w:t>
      </w:r>
      <w:r>
        <w:rPr>
          <w:rFonts w:ascii="Calibri" w:cs="Calibri" w:eastAsia="Calibri" w:hAnsi="Calibri"/>
          <w:color w:val="33323F"/>
          <w:sz w:val="21"/>
          <w:szCs w:val="21"/>
        </w:rPr>
        <w:t xml:space="preserve">write each current member's name or initials in a column header. For every skill, mark </w:t>
      </w:r>
      <w:r>
        <w:rPr>
          <w:rFonts w:ascii="Calibri" w:cs="Calibri" w:eastAsia="Calibri" w:hAnsi="Calibri"/>
          <w:b/>
          <w:bCs/>
          <w:color w:val="33323F"/>
          <w:sz w:val="21"/>
          <w:szCs w:val="21"/>
        </w:rPr>
        <w:t xml:space="preserve">●</w:t>
      </w:r>
      <w:r>
        <w:rPr>
          <w:rFonts w:ascii="Calibri" w:cs="Calibri" w:eastAsia="Calibri" w:hAnsi="Calibri"/>
          <w:color w:val="33323F"/>
          <w:sz w:val="21"/>
          <w:szCs w:val="21"/>
        </w:rPr>
        <w:t xml:space="preserve"> if that member truly owns it and </w:t>
      </w:r>
      <w:r>
        <w:rPr>
          <w:rFonts w:ascii="Calibri" w:cs="Calibri" w:eastAsia="Calibri" w:hAnsi="Calibri"/>
          <w:b/>
          <w:bCs/>
          <w:color w:val="33323F"/>
          <w:sz w:val="21"/>
          <w:szCs w:val="21"/>
        </w:rPr>
        <w:t xml:space="preserve">○</w:t>
      </w:r>
      <w:r>
        <w:rPr>
          <w:rFonts w:ascii="Calibri" w:cs="Calibri" w:eastAsia="Calibri" w:hAnsi="Calibri"/>
          <w:color w:val="33323F"/>
          <w:sz w:val="21"/>
          <w:szCs w:val="21"/>
        </w:rPr>
        <w:t xml:space="preserve"> if they partly cover it. A row with no marks is a gap: note it in the last column. Your next recruits should come from the gap rows.</w:t>
      </w:r>
    </w:p>
    <w:tbl>
      <w:tblPr>
        <w:tblW w:type="dxa" w:w="13840"/>
        <w:tblBorders>
          <w:top w:val="single" w:color="E7E0D3" w:sz="4"/>
          <w:left w:val="single" w:color="E7E0D3" w:sz="4"/>
          <w:bottom w:val="single" w:color="E7E0D3" w:sz="4"/>
          <w:right w:val="single" w:color="E7E0D3" w:sz="4"/>
          <w:insideH w:val="single" w:color="E7E0D3" w:sz="4"/>
          <w:insideV w:val="single" w:color="E7E0D3" w:sz="4"/>
        </w:tblBorders>
      </w:tblPr>
      <w:tblGrid>
        <w:gridCol w:w="3640"/>
        <w:gridCol w:w="1150"/>
        <w:gridCol w:w="1150"/>
        <w:gridCol w:w="1150"/>
        <w:gridCol w:w="1150"/>
        <w:gridCol w:w="1150"/>
        <w:gridCol w:w="1150"/>
        <w:gridCol w:w="1150"/>
        <w:gridCol w:w="1150"/>
        <w:gridCol w:w="1000"/>
      </w:tblGrid>
      <w:tr>
        <w:trPr>
          <w:tblHeader/>
        </w:trPr>
        <w:tc>
          <w:tcPr>
            <w:tcW w:type="dxa" w:w="3640"/>
            <w:shd w:fill="1F1E2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Skill or perspective</w:t>
            </w:r>
          </w:p>
        </w:tc>
        <w:tc>
          <w:tcPr>
            <w:tcW w:type="dxa" w:w="1150"/>
            <w:shd w:fill="1F1E2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Member 1</w:t>
            </w:r>
          </w:p>
        </w:tc>
        <w:tc>
          <w:tcPr>
            <w:tcW w:type="dxa" w:w="1150"/>
            <w:shd w:fill="1F1E2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Member 2</w:t>
            </w:r>
          </w:p>
        </w:tc>
        <w:tc>
          <w:tcPr>
            <w:tcW w:type="dxa" w:w="1150"/>
            <w:shd w:fill="1F1E2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Member 3</w:t>
            </w:r>
          </w:p>
        </w:tc>
        <w:tc>
          <w:tcPr>
            <w:tcW w:type="dxa" w:w="1150"/>
            <w:shd w:fill="1F1E2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Member 4</w:t>
            </w:r>
          </w:p>
        </w:tc>
        <w:tc>
          <w:tcPr>
            <w:tcW w:type="dxa" w:w="1150"/>
            <w:shd w:fill="1F1E2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Member 5</w:t>
            </w:r>
          </w:p>
        </w:tc>
        <w:tc>
          <w:tcPr>
            <w:tcW w:type="dxa" w:w="1150"/>
            <w:shd w:fill="1F1E2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Member 6</w:t>
            </w:r>
          </w:p>
        </w:tc>
        <w:tc>
          <w:tcPr>
            <w:tcW w:type="dxa" w:w="1150"/>
            <w:shd w:fill="1F1E2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Member 7</w:t>
            </w:r>
          </w:p>
        </w:tc>
        <w:tc>
          <w:tcPr>
            <w:tcW w:type="dxa" w:w="1150"/>
            <w:shd w:fill="1F1E2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Member 8</w:t>
            </w:r>
          </w:p>
        </w:tc>
        <w:tc>
          <w:tcPr>
            <w:tcW w:type="dxa" w:w="1000"/>
            <w:shd w:fill="1F1E2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Gap?</w:t>
            </w:r>
          </w:p>
        </w:tc>
      </w:tr>
      <w:tr>
        <w:trPr>
          <w:cantSplit/>
        </w:trPr>
        <w:tc>
          <w:tcPr>
            <w:tcW w:type="dxa" w:w="3640"/>
            <w:tcMar>
              <w:top w:type="dxa" w:w="44"/>
              <w:left w:type="dxa" w:w="100"/>
              <w:bottom w:type="dxa" w:w="44"/>
              <w:right w:type="dxa" w:w="100"/>
            </w:tcMar>
          </w:tcPr>
          <w:p>
            <w:pPr>
              <w:spacing w:after="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23F"/>
                <w:sz w:val="17"/>
                <w:szCs w:val="17"/>
              </w:rPr>
              <w:t xml:space="preserve">Fundraising &amp; philanthropy</w:t>
            </w:r>
          </w:p>
          <w:p>
            <w:pPr>
              <w:spacing w:after="0" w:line="240"/>
              <w:jc w:val="left"/>
            </w:pPr>
            <w:r>
              <w:rPr>
                <w:rFonts w:ascii="Calibri" w:cs="Calibri" w:eastAsia="Calibri" w:hAnsi="Calibri"/>
                <w:color w:val="4A4956"/>
                <w:sz w:val="13"/>
                <w:szCs w:val="13"/>
              </w:rPr>
              <w:t xml:space="preserve">Has given at a leadership level or helped raise money</w:t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shd w:fill="F7F2EA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640"/>
            <w:shd w:fill="FBF9F4" w:val="clear"/>
            <w:tcMar>
              <w:top w:type="dxa" w:w="44"/>
              <w:left w:type="dxa" w:w="100"/>
              <w:bottom w:type="dxa" w:w="44"/>
              <w:right w:type="dxa" w:w="100"/>
            </w:tcMar>
          </w:tcPr>
          <w:p>
            <w:pPr>
              <w:spacing w:after="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23F"/>
                <w:sz w:val="17"/>
                <w:szCs w:val="17"/>
              </w:rPr>
              <w:t xml:space="preserve">Finance &amp; accounting</w:t>
            </w:r>
          </w:p>
          <w:p>
            <w:pPr>
              <w:spacing w:after="0" w:line="240"/>
              <w:jc w:val="left"/>
            </w:pPr>
            <w:r>
              <w:rPr>
                <w:rFonts w:ascii="Calibri" w:cs="Calibri" w:eastAsia="Calibri" w:hAnsi="Calibri"/>
                <w:color w:val="4A4956"/>
                <w:sz w:val="13"/>
                <w:szCs w:val="13"/>
              </w:rPr>
              <w:t xml:space="preserve">Can truly read statements; audit or finance committee ready</w:t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shd w:fill="F7F2EA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640"/>
            <w:tcMar>
              <w:top w:type="dxa" w:w="44"/>
              <w:left w:type="dxa" w:w="100"/>
              <w:bottom w:type="dxa" w:w="44"/>
              <w:right w:type="dxa" w:w="100"/>
            </w:tcMar>
          </w:tcPr>
          <w:p>
            <w:pPr>
              <w:spacing w:after="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23F"/>
                <w:sz w:val="17"/>
                <w:szCs w:val="17"/>
              </w:rPr>
              <w:t xml:space="preserve">Legal</w:t>
            </w:r>
          </w:p>
          <w:p>
            <w:pPr>
              <w:spacing w:after="0" w:line="240"/>
              <w:jc w:val="left"/>
            </w:pPr>
            <w:r>
              <w:rPr>
                <w:rFonts w:ascii="Calibri" w:cs="Calibri" w:eastAsia="Calibri" w:hAnsi="Calibri"/>
                <w:color w:val="4A4956"/>
                <w:sz w:val="13"/>
                <w:szCs w:val="13"/>
              </w:rPr>
              <w:t xml:space="preserve">Nonprofit, employment, or contract law</w:t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shd w:fill="F7F2EA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640"/>
            <w:shd w:fill="FBF9F4" w:val="clear"/>
            <w:tcMar>
              <w:top w:type="dxa" w:w="44"/>
              <w:left w:type="dxa" w:w="100"/>
              <w:bottom w:type="dxa" w:w="44"/>
              <w:right w:type="dxa" w:w="100"/>
            </w:tcMar>
          </w:tcPr>
          <w:p>
            <w:pPr>
              <w:spacing w:after="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23F"/>
                <w:sz w:val="17"/>
                <w:szCs w:val="17"/>
              </w:rPr>
              <w:t xml:space="preserve">Marketing &amp; communications</w:t>
            </w:r>
          </w:p>
          <w:p>
            <w:pPr>
              <w:spacing w:after="0" w:line="240"/>
              <w:jc w:val="left"/>
            </w:pPr>
            <w:r>
              <w:rPr>
                <w:rFonts w:ascii="Calibri" w:cs="Calibri" w:eastAsia="Calibri" w:hAnsi="Calibri"/>
                <w:color w:val="4A4956"/>
                <w:sz w:val="13"/>
                <w:szCs w:val="13"/>
              </w:rPr>
              <w:t xml:space="preserve">Branding, media, digital, public relations</w:t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shd w:fill="F7F2EA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640"/>
            <w:tcMar>
              <w:top w:type="dxa" w:w="44"/>
              <w:left w:type="dxa" w:w="100"/>
              <w:bottom w:type="dxa" w:w="44"/>
              <w:right w:type="dxa" w:w="100"/>
            </w:tcMar>
          </w:tcPr>
          <w:p>
            <w:pPr>
              <w:spacing w:after="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23F"/>
                <w:sz w:val="17"/>
                <w:szCs w:val="17"/>
              </w:rPr>
              <w:t xml:space="preserve">Your program area</w:t>
            </w:r>
          </w:p>
          <w:p>
            <w:pPr>
              <w:spacing w:after="0" w:line="240"/>
              <w:jc w:val="left"/>
            </w:pPr>
            <w:r>
              <w:rPr>
                <w:rFonts w:ascii="Calibri" w:cs="Calibri" w:eastAsia="Calibri" w:hAnsi="Calibri"/>
                <w:color w:val="4A4956"/>
                <w:sz w:val="13"/>
                <w:szCs w:val="13"/>
              </w:rPr>
              <w:t xml:space="preserve">Professional expertise in the field you serve</w:t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shd w:fill="F7F2EA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640"/>
            <w:shd w:fill="FBF9F4" w:val="clear"/>
            <w:tcMar>
              <w:top w:type="dxa" w:w="44"/>
              <w:left w:type="dxa" w:w="100"/>
              <w:bottom w:type="dxa" w:w="44"/>
              <w:right w:type="dxa" w:w="100"/>
            </w:tcMar>
          </w:tcPr>
          <w:p>
            <w:pPr>
              <w:spacing w:after="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23F"/>
                <w:sz w:val="17"/>
                <w:szCs w:val="17"/>
              </w:rPr>
              <w:t xml:space="preserve">Human resources</w:t>
            </w:r>
          </w:p>
          <w:p>
            <w:pPr>
              <w:spacing w:after="0" w:line="240"/>
              <w:jc w:val="left"/>
            </w:pPr>
            <w:r>
              <w:rPr>
                <w:rFonts w:ascii="Calibri" w:cs="Calibri" w:eastAsia="Calibri" w:hAnsi="Calibri"/>
                <w:color w:val="4A4956"/>
                <w:sz w:val="13"/>
                <w:szCs w:val="13"/>
              </w:rPr>
              <w:t xml:space="preserve">Hiring, compensation, personnel policy</w:t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shd w:fill="F7F2EA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640"/>
            <w:tcMar>
              <w:top w:type="dxa" w:w="44"/>
              <w:left w:type="dxa" w:w="100"/>
              <w:bottom w:type="dxa" w:w="44"/>
              <w:right w:type="dxa" w:w="100"/>
            </w:tcMar>
          </w:tcPr>
          <w:p>
            <w:pPr>
              <w:spacing w:after="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23F"/>
                <w:sz w:val="17"/>
                <w:szCs w:val="17"/>
              </w:rPr>
              <w:t xml:space="preserve">Technology &amp; data</w:t>
            </w:r>
          </w:p>
          <w:p>
            <w:pPr>
              <w:spacing w:after="0" w:line="240"/>
              <w:jc w:val="left"/>
            </w:pPr>
            <w:r>
              <w:rPr>
                <w:rFonts w:ascii="Calibri" w:cs="Calibri" w:eastAsia="Calibri" w:hAnsi="Calibri"/>
                <w:color w:val="4A4956"/>
                <w:sz w:val="13"/>
                <w:szCs w:val="13"/>
              </w:rPr>
              <w:t xml:space="preserve">Systems, security, using data to decide</w:t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shd w:fill="F7F2EA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640"/>
            <w:shd w:fill="FBF9F4" w:val="clear"/>
            <w:tcMar>
              <w:top w:type="dxa" w:w="44"/>
              <w:left w:type="dxa" w:w="100"/>
              <w:bottom w:type="dxa" w:w="44"/>
              <w:right w:type="dxa" w:w="100"/>
            </w:tcMar>
          </w:tcPr>
          <w:p>
            <w:pPr>
              <w:spacing w:after="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23F"/>
                <w:sz w:val="17"/>
                <w:szCs w:val="17"/>
              </w:rPr>
              <w:t xml:space="preserve">Real estate &amp; facilities</w:t>
            </w:r>
          </w:p>
          <w:p>
            <w:pPr>
              <w:spacing w:after="0" w:line="240"/>
              <w:jc w:val="left"/>
            </w:pPr>
            <w:r>
              <w:rPr>
                <w:rFonts w:ascii="Calibri" w:cs="Calibri" w:eastAsia="Calibri" w:hAnsi="Calibri"/>
                <w:color w:val="4A4956"/>
                <w:sz w:val="13"/>
                <w:szCs w:val="13"/>
              </w:rPr>
              <w:t xml:space="preserve">Construction or property; vital before a capital campaign</w:t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shd w:fill="F7F2EA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640"/>
            <w:tcMar>
              <w:top w:type="dxa" w:w="44"/>
              <w:left w:type="dxa" w:w="100"/>
              <w:bottom w:type="dxa" w:w="44"/>
              <w:right w:type="dxa" w:w="100"/>
            </w:tcMar>
          </w:tcPr>
          <w:p>
            <w:pPr>
              <w:spacing w:after="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23F"/>
                <w:sz w:val="17"/>
                <w:szCs w:val="17"/>
              </w:rPr>
              <w:t xml:space="preserve">Community connections</w:t>
            </w:r>
          </w:p>
          <w:p>
            <w:pPr>
              <w:spacing w:after="0" w:line="240"/>
              <w:jc w:val="left"/>
            </w:pPr>
            <w:r>
              <w:rPr>
                <w:rFonts w:ascii="Calibri" w:cs="Calibri" w:eastAsia="Calibri" w:hAnsi="Calibri"/>
                <w:color w:val="4A4956"/>
                <w:sz w:val="13"/>
                <w:szCs w:val="13"/>
              </w:rPr>
              <w:t xml:space="preserve">Deeply networked in the communities you serve</w:t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shd w:fill="F7F2EA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640"/>
            <w:shd w:fill="FBF9F4" w:val="clear"/>
            <w:tcMar>
              <w:top w:type="dxa" w:w="44"/>
              <w:left w:type="dxa" w:w="100"/>
              <w:bottom w:type="dxa" w:w="44"/>
              <w:right w:type="dxa" w:w="100"/>
            </w:tcMar>
          </w:tcPr>
          <w:p>
            <w:pPr>
              <w:spacing w:after="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23F"/>
                <w:sz w:val="17"/>
                <w:szCs w:val="17"/>
              </w:rPr>
              <w:t xml:space="preserve">Access to wealth networks</w:t>
            </w:r>
          </w:p>
          <w:p>
            <w:pPr>
              <w:spacing w:after="0" w:line="240"/>
              <w:jc w:val="left"/>
            </w:pPr>
            <w:r>
              <w:rPr>
                <w:rFonts w:ascii="Calibri" w:cs="Calibri" w:eastAsia="Calibri" w:hAnsi="Calibri"/>
                <w:color w:val="4A4956"/>
                <w:sz w:val="13"/>
                <w:szCs w:val="13"/>
              </w:rPr>
              <w:t xml:space="preserve">Can open doors to major donors, foundations, corporations</w:t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shd w:fill="F7F2EA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640"/>
            <w:tcMar>
              <w:top w:type="dxa" w:w="44"/>
              <w:left w:type="dxa" w:w="100"/>
              <w:bottom w:type="dxa" w:w="44"/>
              <w:right w:type="dxa" w:w="100"/>
            </w:tcMar>
          </w:tcPr>
          <w:p>
            <w:pPr>
              <w:spacing w:after="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23F"/>
                <w:sz w:val="17"/>
                <w:szCs w:val="17"/>
              </w:rPr>
              <w:t xml:space="preserve">Lived experience of your mission</w:t>
            </w:r>
          </w:p>
          <w:p>
            <w:pPr>
              <w:spacing w:after="0" w:line="240"/>
              <w:jc w:val="left"/>
            </w:pPr>
            <w:r>
              <w:rPr>
                <w:rFonts w:ascii="Calibri" w:cs="Calibri" w:eastAsia="Calibri" w:hAnsi="Calibri"/>
                <w:color w:val="4A4956"/>
                <w:sz w:val="13"/>
                <w:szCs w:val="13"/>
              </w:rPr>
              <w:t xml:space="preserve">Has personally experienced the need you address</w:t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shd w:fill="F7F2EA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640"/>
            <w:shd w:fill="FBF9F4" w:val="clear"/>
            <w:tcMar>
              <w:top w:type="dxa" w:w="44"/>
              <w:left w:type="dxa" w:w="100"/>
              <w:bottom w:type="dxa" w:w="44"/>
              <w:right w:type="dxa" w:w="100"/>
            </w:tcMar>
          </w:tcPr>
          <w:p>
            <w:pPr>
              <w:spacing w:after="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23F"/>
                <w:sz w:val="17"/>
                <w:szCs w:val="17"/>
              </w:rPr>
              <w:t xml:space="preserve">Board leadership experience</w:t>
            </w:r>
          </w:p>
          <w:p>
            <w:pPr>
              <w:spacing w:after="0" w:line="240"/>
              <w:jc w:val="left"/>
            </w:pPr>
            <w:r>
              <w:rPr>
                <w:rFonts w:ascii="Calibri" w:cs="Calibri" w:eastAsia="Calibri" w:hAnsi="Calibri"/>
                <w:color w:val="4A4956"/>
                <w:sz w:val="13"/>
                <w:szCs w:val="13"/>
              </w:rPr>
              <w:t xml:space="preserve">Has served as an officer or led a board before</w:t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shd w:fill="FBF9F4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shd w:fill="F7F2EA" w:val="clear"/>
            <w:tcMar>
              <w:top w:type="dxa" w:w="44"/>
              <w:left w:type="dxa" w:w="60"/>
              <w:bottom w:type="dxa" w:w="44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color w:val="33323F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C8943A"/>
          <w:spacing w:val="40"/>
          <w:sz w:val="15"/>
          <w:szCs w:val="15"/>
        </w:rPr>
        <w:t xml:space="preserve">FROM GAPS TO RECRUITS</w:t>
      </w:r>
    </w:p>
    <w:p>
      <w:pPr>
        <w:spacing w:after="90" w:before="120"/>
      </w:pPr>
      <w:r>
        <w:rPr>
          <w:rFonts w:ascii="Calibri" w:cs="Calibri" w:eastAsia="Calibri" w:hAnsi="Calibri"/>
          <w:b/>
          <w:bCs/>
          <w:color w:val="5B4490"/>
          <w:spacing w:val="30"/>
          <w:sz w:val="19"/>
          <w:szCs w:val="19"/>
        </w:rPr>
        <w:t xml:space="preserve">OUR TOP THREE RECRUITMENT PRIORITIES</w:t>
      </w:r>
    </w:p>
    <w:p>
      <w:pPr>
        <w:spacing w:after="120" w:line="264"/>
        <w:jc w:val="left"/>
      </w:pPr>
      <w:r>
        <w:rPr>
          <w:rFonts w:ascii="Calibri" w:cs="Calibri" w:eastAsia="Calibri" w:hAnsi="Calibri"/>
          <w:color w:val="33323F"/>
          <w:sz w:val="21"/>
          <w:szCs w:val="21"/>
        </w:rPr>
        <w:t xml:space="preserve">From your gap column, pick the three that matter most for where your organization is headed, not just where it is today. Planning a capital campaign? Real estate and wealth networks move up. Growing programs? Program expertise and HR.</w:t>
      </w:r>
    </w:p>
    <w:p>
      <w:pPr>
        <w:pBdr>
          <w:bottom w:val="single" w:color="4A4956" w:sz="4"/>
        </w:pBdr>
        <w:spacing w:after="30" w:before="240"/>
      </w:pPr>
    </w:p>
    <w:p>
      <w:pPr>
        <w:spacing w:after="0"/>
      </w:pPr>
      <w:r>
        <w:rPr>
          <w:rFonts w:ascii="Calibri" w:cs="Calibri" w:eastAsia="Calibri" w:hAnsi="Calibri"/>
          <w:color w:val="4A4956"/>
          <w:sz w:val="16"/>
          <w:szCs w:val="16"/>
        </w:rPr>
        <w:t xml:space="preserve">Priority 1</w:t>
      </w:r>
    </w:p>
    <w:p>
      <w:pPr>
        <w:pBdr>
          <w:bottom w:val="single" w:color="4A4956" w:sz="4"/>
        </w:pBdr>
        <w:spacing w:after="30" w:before="240"/>
      </w:pPr>
    </w:p>
    <w:p>
      <w:pPr>
        <w:spacing w:after="0"/>
      </w:pPr>
      <w:r>
        <w:rPr>
          <w:rFonts w:ascii="Calibri" w:cs="Calibri" w:eastAsia="Calibri" w:hAnsi="Calibri"/>
          <w:color w:val="4A4956"/>
          <w:sz w:val="16"/>
          <w:szCs w:val="16"/>
        </w:rPr>
        <w:t xml:space="preserve">Priority 2</w:t>
      </w:r>
    </w:p>
    <w:p>
      <w:pPr>
        <w:pBdr>
          <w:bottom w:val="single" w:color="4A4956" w:sz="4"/>
        </w:pBdr>
        <w:spacing w:after="30" w:before="240"/>
      </w:pPr>
    </w:p>
    <w:p>
      <w:pPr>
        <w:spacing w:after="0"/>
      </w:pPr>
      <w:r>
        <w:rPr>
          <w:rFonts w:ascii="Calibri" w:cs="Calibri" w:eastAsia="Calibri" w:hAnsi="Calibri"/>
          <w:color w:val="4A4956"/>
          <w:sz w:val="16"/>
          <w:szCs w:val="16"/>
        </w:rPr>
        <w:t xml:space="preserve">Priority 3</w:t>
      </w:r>
    </w:p>
    <w:p>
      <w:pPr>
        <w:spacing w:after="90" w:before="340"/>
      </w:pPr>
      <w:r>
        <w:rPr>
          <w:rFonts w:ascii="Calibri" w:cs="Calibri" w:eastAsia="Calibri" w:hAnsi="Calibri"/>
          <w:b/>
          <w:bCs/>
          <w:color w:val="5B4490"/>
          <w:spacing w:val="30"/>
          <w:sz w:val="19"/>
          <w:szCs w:val="19"/>
        </w:rPr>
        <w:t xml:space="preserve">WHO DO WE KNOW?</w:t>
      </w:r>
    </w:p>
    <w:p>
      <w:pPr>
        <w:spacing w:after="120" w:line="264"/>
        <w:jc w:val="left"/>
      </w:pPr>
      <w:r>
        <w:rPr>
          <w:rFonts w:ascii="Calibri" w:cs="Calibri" w:eastAsia="Calibri" w:hAnsi="Calibri"/>
          <w:color w:val="33323F"/>
          <w:sz w:val="21"/>
          <w:szCs w:val="21"/>
        </w:rPr>
        <w:t xml:space="preserve">For each priority, write a one-line profile of the person you're looking for, then ask every board member: who do we know like this? Names, not categories.</w:t>
      </w:r>
    </w:p>
    <w:p>
      <w:pPr>
        <w:pBdr>
          <w:bottom w:val="single" w:color="4A4956" w:sz="4"/>
        </w:pBdr>
        <w:spacing w:after="30" w:before="240"/>
      </w:pPr>
    </w:p>
    <w:p>
      <w:pPr>
        <w:spacing w:after="0"/>
      </w:pPr>
      <w:r>
        <w:rPr>
          <w:rFonts w:ascii="Calibri" w:cs="Calibri" w:eastAsia="Calibri" w:hAnsi="Calibri"/>
          <w:color w:val="4A4956"/>
          <w:sz w:val="16"/>
          <w:szCs w:val="16"/>
        </w:rPr>
        <w:t xml:space="preserve">Prospects for Priority 1</w:t>
      </w:r>
    </w:p>
    <w:p>
      <w:pPr>
        <w:pBdr>
          <w:bottom w:val="single" w:color="4A4956" w:sz="4"/>
        </w:pBdr>
        <w:spacing w:after="30" w:before="240"/>
      </w:pPr>
    </w:p>
    <w:p>
      <w:pPr>
        <w:spacing w:after="0"/>
      </w:pPr>
      <w:r>
        <w:rPr>
          <w:rFonts w:ascii="Calibri" w:cs="Calibri" w:eastAsia="Calibri" w:hAnsi="Calibri"/>
          <w:color w:val="4A4956"/>
          <w:sz w:val="16"/>
          <w:szCs w:val="16"/>
        </w:rPr>
        <w:t xml:space="preserve">Prospects for Priority 2</w:t>
      </w:r>
    </w:p>
    <w:p>
      <w:pPr>
        <w:pBdr>
          <w:bottom w:val="single" w:color="4A4956" w:sz="4"/>
        </w:pBdr>
        <w:spacing w:after="30" w:before="240"/>
      </w:pPr>
    </w:p>
    <w:p>
      <w:pPr>
        <w:spacing w:after="0"/>
      </w:pPr>
      <w:r>
        <w:rPr>
          <w:rFonts w:ascii="Calibri" w:cs="Calibri" w:eastAsia="Calibri" w:hAnsi="Calibri"/>
          <w:color w:val="4A4956"/>
          <w:sz w:val="16"/>
          <w:szCs w:val="16"/>
        </w:rPr>
        <w:t xml:space="preserve">Prospects for Priority 3</w:t>
      </w:r>
    </w:p>
    <w:p>
      <w:pPr>
        <w:spacing w:before="300"/>
      </w:pP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360"/>
      </w:tblGrid>
      <w:tr>
        <w:tc>
          <w:tcPr>
            <w:tcW w:type="dxa" w:w="9360"/>
            <w:shd w:fill="F7F2EA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1F1E2C"/>
                <w:sz w:val="19"/>
                <w:szCs w:val="19"/>
              </w:rPr>
              <w:t xml:space="preserve">Keep it alive: </w:t>
            </w:r>
            <w:r>
              <w:rPr>
                <w:rFonts w:ascii="Calibri" w:cs="Calibri" w:eastAsia="Calibri" w:hAnsi="Calibri"/>
                <w:color w:val="1F1E2C"/>
                <w:sz w:val="19"/>
                <w:szCs w:val="19"/>
              </w:rPr>
              <w:t xml:space="preserve">revisit this matrix once a year and any time a member's term is ending, so recruitment starts from your gaps instead of from whoever happens to be willing. Prefer clicking to printing? The interactive version of this matrix lives at ruizfundraising.com.</w:t>
            </w:r>
          </w:p>
        </w:tc>
      </w:tr>
    </w:tbl>
    <w:sectPr>
      <w:footerReference w:type="default" r:id="rId7"/>
      <w:pgSz w:w="15840" w:h="12240" w:orient="landscape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7E0D3" w:sz="4"/>
      </w:pBdr>
      <w:spacing w:before="80"/>
      <w:jc w:val="center"/>
    </w:pPr>
    <w:r>
      <w:rPr>
        <w:rFonts w:ascii="Calibri" w:cs="Calibri" w:eastAsia="Calibri" w:hAnsi="Calibri"/>
        <w:color w:val="4A4956"/>
        <w:sz w:val="16"/>
        <w:szCs w:val="16"/>
      </w:rPr>
      <w:t xml:space="preserve">Template provided by Ruiz &amp; Company · Nonprofit Fundraising Partners · ruizfundraising.com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2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2026-08-30T03:54:08.251Z</dcterms:created>
  <dcterms:modified xsi:type="dcterms:W3CDTF">2026-08-30T03:54:08.251Z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